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76" w:before="0"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11 новых автомобилей региональный Соцфонд вручил </w:t>
      </w:r>
    </w:p>
    <w:p>
      <w:pPr>
        <w:pStyle w:val="Normal"/>
        <w:spacing w:lineRule="auto" w:line="276" w:before="0" w:after="86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пострадавшим на производстве жителям Волгоградской области </w:t>
      </w:r>
    </w:p>
    <w:p>
      <w:pPr>
        <w:pStyle w:val="Normal"/>
        <w:spacing w:lineRule="auto" w:line="276"/>
        <w:jc w:val="both"/>
        <w:rPr>
          <w:rFonts w:ascii="Tahoma" w:hAnsi="Tahoma"/>
          <w:b w:val="false"/>
          <w:bCs w:val="false"/>
          <w:sz w:val="26"/>
          <w:szCs w:val="26"/>
        </w:rPr>
      </w:pPr>
      <w:r>
        <w:rPr>
          <w:rFonts w:ascii="Tahoma" w:hAnsi="Tahoma"/>
          <w:b w:val="false"/>
          <w:bCs w:val="false"/>
          <w:sz w:val="26"/>
          <w:szCs w:val="26"/>
        </w:rPr>
        <w:t xml:space="preserve">31 июля руководство Отделения Социального фонда России по Волгоградской области передало ключи от автомобилей гражданам, пострадавшим в результате несчастных случаев на производстве. Новые автомобили Lada Granta и Lada </w:t>
      </w:r>
      <w:r>
        <w:rPr>
          <w:rFonts w:ascii="Tahoma" w:hAnsi="Tahoma"/>
          <w:b w:val="false"/>
          <w:bCs w:val="false"/>
          <w:sz w:val="26"/>
          <w:szCs w:val="26"/>
          <w:lang w:val="en-US"/>
        </w:rPr>
        <w:t>Vesta</w:t>
      </w:r>
      <w:r>
        <w:rPr>
          <w:rFonts w:ascii="Tahoma" w:hAnsi="Tahoma"/>
          <w:b w:val="false"/>
          <w:bCs w:val="false"/>
          <w:sz w:val="26"/>
          <w:szCs w:val="26"/>
        </w:rPr>
        <w:t xml:space="preserve"> получили 11 жителей региона. Машины имеют ручное управление, оборудованы как автоматической, так и и механической коробками передач и оснащены с уч</w:t>
      </w:r>
      <w:r>
        <w:rPr>
          <w:rFonts w:ascii="Tahoma" w:hAnsi="Tahoma"/>
          <w:b w:val="false"/>
          <w:bCs w:val="false"/>
          <w:sz w:val="26"/>
          <w:szCs w:val="26"/>
        </w:rPr>
        <w:t>ё</w:t>
      </w:r>
      <w:r>
        <w:rPr>
          <w:rFonts w:ascii="Tahoma" w:hAnsi="Tahoma"/>
          <w:b w:val="false"/>
          <w:bCs w:val="false"/>
          <w:sz w:val="26"/>
          <w:szCs w:val="26"/>
        </w:rPr>
        <w:t xml:space="preserve">том индивидуальных особенностей и физических возможностей каждого из владельцев. </w:t>
      </w:r>
    </w:p>
    <w:p>
      <w:pPr>
        <w:pStyle w:val="Normal"/>
        <w:spacing w:lineRule="auto" w:line="276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Автомобили в спецкомплектации Отделение СФР предоставляет в рамках медицинской, социальной и профессиональной реабилитации пострадавших на производстве.</w:t>
      </w:r>
    </w:p>
    <w:p>
      <w:pPr>
        <w:pStyle w:val="Normal"/>
        <w:spacing w:lineRule="auto" w:line="276"/>
        <w:jc w:val="both"/>
        <w:rPr/>
      </w:pPr>
      <w:r>
        <w:rPr>
          <w:rStyle w:val="Emphasis"/>
          <w:rFonts w:ascii="Tahoma" w:hAnsi="Tahoma"/>
          <w:b w:val="false"/>
          <w:sz w:val="26"/>
          <w:szCs w:val="26"/>
        </w:rPr>
        <w:t xml:space="preserve">«Наличие автомобиля, переоборудованного под физические особенности каждого получателя, – это возможность оставаться социально и физически активными, быть востребованными в профессиональной сфере. </w:t>
      </w:r>
      <w:r>
        <w:rPr>
          <w:rFonts w:ascii="Tahoma" w:hAnsi="Tahoma"/>
          <w:b w:val="false"/>
          <w:bCs/>
          <w:i/>
          <w:sz w:val="26"/>
          <w:szCs w:val="26"/>
        </w:rPr>
        <w:t>В прошлом году мы закупили для данной категории льготников 34 машины. В 2025 году планируется передать 32 автомобиля</w:t>
      </w:r>
      <w:r>
        <w:rPr>
          <w:rStyle w:val="Emphasis"/>
          <w:rFonts w:ascii="Tahoma" w:hAnsi="Tahoma"/>
          <w:b w:val="false"/>
          <w:sz w:val="26"/>
          <w:szCs w:val="26"/>
        </w:rPr>
        <w:t xml:space="preserve">», — </w:t>
      </w:r>
      <w:r>
        <w:rPr>
          <w:rStyle w:val="Emphasis"/>
          <w:rFonts w:ascii="Tahoma" w:hAnsi="Tahoma"/>
          <w:b w:val="false"/>
          <w:i w:val="false"/>
          <w:sz w:val="26"/>
          <w:szCs w:val="26"/>
        </w:rPr>
        <w:t>отметила заместитель управляющего Отделением Социального фонда России по Волгоградской области</w:t>
      </w:r>
      <w:r>
        <w:rPr>
          <w:rStyle w:val="Emphasis"/>
          <w:rFonts w:ascii="Tahoma" w:hAnsi="Tahoma"/>
          <w:i w:val="false"/>
          <w:sz w:val="26"/>
          <w:szCs w:val="26"/>
        </w:rPr>
        <w:t xml:space="preserve"> Елена Хаблова</w:t>
      </w:r>
      <w:r>
        <w:rPr>
          <w:rStyle w:val="Strong"/>
          <w:rFonts w:ascii="Tahoma" w:hAnsi="Tahoma"/>
          <w:i/>
          <w:iCs/>
          <w:sz w:val="26"/>
          <w:szCs w:val="26"/>
        </w:rPr>
        <w:t>.</w:t>
      </w:r>
      <w:r>
        <w:rPr>
          <w:rFonts w:ascii="Tahoma" w:hAnsi="Tahoma"/>
          <w:bCs/>
          <w:i/>
          <w:sz w:val="26"/>
          <w:szCs w:val="26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Специальный автомобиль выда</w:t>
      </w:r>
      <w:r>
        <w:rPr>
          <w:rFonts w:ascii="Tahoma" w:hAnsi="Tahoma"/>
          <w:sz w:val="26"/>
          <w:szCs w:val="26"/>
        </w:rPr>
        <w:t>ё</w:t>
      </w:r>
      <w:r>
        <w:rPr>
          <w:rFonts w:ascii="Tahoma" w:hAnsi="Tahoma"/>
          <w:sz w:val="26"/>
          <w:szCs w:val="26"/>
        </w:rPr>
        <w:t>тся один раз в семь лет по заключению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срока, если бюро медико-социальной экспертизы подтверждает его необходимость, транспорт заменяется новым, а прежний оста</w:t>
      </w:r>
      <w:r>
        <w:rPr>
          <w:rFonts w:ascii="Tahoma" w:hAnsi="Tahoma"/>
          <w:sz w:val="26"/>
          <w:szCs w:val="26"/>
        </w:rPr>
        <w:t>ё</w:t>
      </w:r>
      <w:r>
        <w:rPr>
          <w:rFonts w:ascii="Tahoma" w:hAnsi="Tahoma"/>
          <w:sz w:val="26"/>
          <w:szCs w:val="26"/>
        </w:rPr>
        <w:t xml:space="preserve">тся в распоряжении хозяина. </w:t>
      </w:r>
    </w:p>
    <w:p>
      <w:pPr>
        <w:pStyle w:val="Normal"/>
        <w:spacing w:lineRule="auto" w:line="276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Кроме того, Отделение Социального фонда России по  Волгоградской области частично компенсирует затраты владельца автомобиля на горюче-смазочные материалы, на текущий ремонт машины, а также капремонт, который можно произвести один раз в течение срока его эксплуатации.</w:t>
      </w:r>
    </w:p>
    <w:p>
      <w:pPr>
        <w:pStyle w:val="Normal"/>
        <w:spacing w:lineRule="auto" w:line="276" w:before="0" w:after="200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241</Words>
  <Characters>1790</Characters>
  <CharactersWithSpaces>2078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2025-08-01T10:32:32Z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